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6076FF" w:rsidRPr="005D2EBD" w:rsidTr="002F7BA9">
        <w:tc>
          <w:tcPr>
            <w:tcW w:w="10606" w:type="dxa"/>
            <w:shd w:val="clear" w:color="auto" w:fill="C6D9F1" w:themeFill="text2" w:themeFillTint="33"/>
            <w:vAlign w:val="center"/>
          </w:tcPr>
          <w:p w:rsidR="00C13091" w:rsidRPr="005D2EBD" w:rsidRDefault="00E712B7" w:rsidP="00F475DB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theme="minorHAnsi"/>
                <w:b/>
                <w:i/>
                <w:sz w:val="20"/>
                <w:szCs w:val="20"/>
              </w:rPr>
              <w:t xml:space="preserve">Annex  to the MMC </w:t>
            </w:r>
            <w:r w:rsidR="00A82047" w:rsidRPr="00151B1B">
              <w:rPr>
                <w:rFonts w:ascii="Calibri" w:hAnsi="Calibri" w:cs="Calibri"/>
                <w:b/>
                <w:i/>
                <w:sz w:val="20"/>
                <w:szCs w:val="20"/>
              </w:rPr>
              <w:t>Measurements to Reduce PSC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Detentions </w:t>
            </w:r>
          </w:p>
        </w:tc>
      </w:tr>
      <w:tr w:rsidR="002F7BA9" w:rsidRPr="005D2EBD" w:rsidTr="002F7BA9">
        <w:trPr>
          <w:trHeight w:val="397"/>
        </w:trPr>
        <w:tc>
          <w:tcPr>
            <w:tcW w:w="10606" w:type="dxa"/>
            <w:vAlign w:val="center"/>
          </w:tcPr>
          <w:p w:rsidR="002F7BA9" w:rsidRPr="00A82047" w:rsidRDefault="00E712B7" w:rsidP="005D2EBD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Annex 3</w:t>
            </w:r>
            <w:r w:rsidR="002F7BA9" w:rsidRPr="00A82047">
              <w:rPr>
                <w:rFonts w:cstheme="minorHAnsi"/>
                <w:b/>
                <w:sz w:val="20"/>
                <w:szCs w:val="20"/>
              </w:rPr>
              <w:t xml:space="preserve"> - Paris MOU - Criteria for the responsibility assessment of </w:t>
            </w:r>
            <w:r w:rsidR="005D2EBD" w:rsidRPr="00A82047">
              <w:rPr>
                <w:rFonts w:cstheme="minorHAnsi"/>
                <w:b/>
                <w:sz w:val="20"/>
                <w:szCs w:val="20"/>
              </w:rPr>
              <w:t xml:space="preserve">recognized organization </w:t>
            </w:r>
            <w:r w:rsidR="002F7BA9" w:rsidRPr="00A82047">
              <w:rPr>
                <w:rFonts w:cstheme="minorHAnsi"/>
                <w:b/>
                <w:sz w:val="20"/>
                <w:szCs w:val="20"/>
              </w:rPr>
              <w:t>(</w:t>
            </w:r>
            <w:r w:rsidR="005D2EBD" w:rsidRPr="00A82047">
              <w:rPr>
                <w:rFonts w:cstheme="minorHAnsi"/>
                <w:b/>
                <w:sz w:val="20"/>
                <w:szCs w:val="20"/>
              </w:rPr>
              <w:t>RO</w:t>
            </w:r>
            <w:r w:rsidR="002F7BA9" w:rsidRPr="00A82047">
              <w:rPr>
                <w:rFonts w:cstheme="minorHAnsi"/>
                <w:b/>
                <w:sz w:val="20"/>
                <w:szCs w:val="20"/>
              </w:rPr>
              <w:t>)</w:t>
            </w:r>
            <w:r w:rsidR="00A82047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82047" w:rsidRPr="00A82047">
              <w:rPr>
                <w:rFonts w:cstheme="minorHAnsi"/>
                <w:b/>
                <w:sz w:val="20"/>
                <w:szCs w:val="20"/>
                <w:vertAlign w:val="superscript"/>
              </w:rPr>
              <w:t>(</w:t>
            </w:r>
            <w:r w:rsidR="002F7BA9" w:rsidRPr="00A82047">
              <w:rPr>
                <w:rFonts w:cstheme="minorHAnsi"/>
                <w:b/>
                <w:sz w:val="20"/>
                <w:szCs w:val="20"/>
                <w:vertAlign w:val="superscript"/>
              </w:rPr>
              <w:t>1</w:t>
            </w:r>
            <w:r w:rsidR="00A82047" w:rsidRPr="00A82047">
              <w:rPr>
                <w:rFonts w:cstheme="minorHAnsi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2F7BA9" w:rsidRPr="005D2EBD" w:rsidTr="002F7BA9">
        <w:tc>
          <w:tcPr>
            <w:tcW w:w="10606" w:type="dxa"/>
            <w:vAlign w:val="center"/>
          </w:tcPr>
          <w:p w:rsidR="002F7BA9" w:rsidRPr="00A82047" w:rsidRDefault="002F7BA9" w:rsidP="002F7BA9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F7BA9" w:rsidRPr="005D2EBD" w:rsidTr="002F7BA9">
        <w:tc>
          <w:tcPr>
            <w:tcW w:w="10606" w:type="dxa"/>
            <w:vAlign w:val="center"/>
          </w:tcPr>
          <w:p w:rsidR="002F7BA9" w:rsidRPr="00A82047" w:rsidRDefault="002F7BA9" w:rsidP="005D2EBD">
            <w:pPr>
              <w:spacing w:after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A82047">
              <w:rPr>
                <w:rFonts w:cstheme="minorHAnsi"/>
                <w:i/>
                <w:sz w:val="20"/>
                <w:szCs w:val="20"/>
              </w:rPr>
              <w:t xml:space="preserve">In applying these criteria, last survey means the actual date when the last statutory survey (annual, periodical, intermediate, etc.) was carried out by the </w:t>
            </w:r>
            <w:r w:rsidR="005D2EBD" w:rsidRPr="00A82047">
              <w:rPr>
                <w:rFonts w:cstheme="minorHAnsi"/>
                <w:i/>
                <w:sz w:val="20"/>
                <w:szCs w:val="20"/>
              </w:rPr>
              <w:t>RO</w:t>
            </w:r>
            <w:r w:rsidRPr="00A82047">
              <w:rPr>
                <w:rFonts w:cstheme="minorHAnsi"/>
                <w:i/>
                <w:sz w:val="20"/>
                <w:szCs w:val="20"/>
              </w:rPr>
              <w:t xml:space="preserve">. Last survey shall not be construed as the date when the certificate was issued. Only statutory surveys have to be taken into consideration to assess the </w:t>
            </w:r>
            <w:r w:rsidR="005D2EBD" w:rsidRPr="00A82047">
              <w:rPr>
                <w:rFonts w:cstheme="minorHAnsi"/>
                <w:i/>
                <w:sz w:val="20"/>
                <w:szCs w:val="20"/>
              </w:rPr>
              <w:t>RO</w:t>
            </w:r>
            <w:r w:rsidRPr="00A82047">
              <w:rPr>
                <w:rFonts w:cstheme="minorHAnsi"/>
                <w:i/>
                <w:sz w:val="20"/>
                <w:szCs w:val="20"/>
              </w:rPr>
              <w:t xml:space="preserve"> responsibility.</w:t>
            </w:r>
          </w:p>
        </w:tc>
      </w:tr>
      <w:tr w:rsidR="002F7BA9" w:rsidRPr="005D2EBD" w:rsidTr="002F7BA9">
        <w:tc>
          <w:tcPr>
            <w:tcW w:w="10606" w:type="dxa"/>
            <w:vAlign w:val="center"/>
          </w:tcPr>
          <w:p w:rsidR="002F7BA9" w:rsidRPr="00A82047" w:rsidRDefault="002F7BA9" w:rsidP="002F7BA9">
            <w:pPr>
              <w:spacing w:after="0"/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2F7BA9" w:rsidRPr="005D2EBD" w:rsidTr="002F7BA9">
        <w:tc>
          <w:tcPr>
            <w:tcW w:w="10606" w:type="dxa"/>
            <w:vAlign w:val="center"/>
          </w:tcPr>
          <w:p w:rsidR="002F7BA9" w:rsidRPr="00A82047" w:rsidRDefault="002F7BA9" w:rsidP="00A8204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cstheme="minorHAnsi"/>
                <w:sz w:val="20"/>
                <w:szCs w:val="20"/>
              </w:rPr>
            </w:pPr>
            <w:r w:rsidRPr="00A82047">
              <w:rPr>
                <w:rFonts w:cstheme="minorHAnsi"/>
                <w:sz w:val="20"/>
                <w:szCs w:val="20"/>
              </w:rPr>
              <w:t xml:space="preserve">Only those deficiencies which, alone or in combination, warrant </w:t>
            </w:r>
            <w:proofErr w:type="gramStart"/>
            <w:r w:rsidRPr="00A82047">
              <w:rPr>
                <w:rFonts w:cstheme="minorHAnsi"/>
                <w:sz w:val="20"/>
                <w:szCs w:val="20"/>
              </w:rPr>
              <w:t>detention</w:t>
            </w:r>
            <w:r w:rsidR="00A82047" w:rsidRPr="00A82047">
              <w:rPr>
                <w:rFonts w:cstheme="minorHAnsi"/>
                <w:b/>
                <w:sz w:val="20"/>
                <w:szCs w:val="20"/>
                <w:vertAlign w:val="superscript"/>
              </w:rPr>
              <w:t>(</w:t>
            </w:r>
            <w:proofErr w:type="gramEnd"/>
            <w:r w:rsidRPr="00A82047">
              <w:rPr>
                <w:rFonts w:cstheme="minorHAnsi"/>
                <w:b/>
                <w:sz w:val="20"/>
                <w:szCs w:val="20"/>
                <w:vertAlign w:val="superscript"/>
              </w:rPr>
              <w:t>2</w:t>
            </w:r>
            <w:r w:rsidR="00A82047" w:rsidRPr="00A82047">
              <w:rPr>
                <w:rFonts w:cstheme="minorHAnsi"/>
                <w:b/>
                <w:sz w:val="20"/>
                <w:szCs w:val="20"/>
                <w:vertAlign w:val="superscript"/>
              </w:rPr>
              <w:t>)</w:t>
            </w:r>
            <w:r w:rsidR="00A82047">
              <w:rPr>
                <w:rFonts w:cstheme="minorHAnsi"/>
                <w:b/>
                <w:sz w:val="20"/>
                <w:szCs w:val="20"/>
                <w:vertAlign w:val="superscript"/>
              </w:rPr>
              <w:t xml:space="preserve"> </w:t>
            </w:r>
            <w:r w:rsidRPr="00A82047">
              <w:rPr>
                <w:rFonts w:cstheme="minorHAnsi"/>
                <w:sz w:val="20"/>
                <w:szCs w:val="20"/>
              </w:rPr>
              <w:t xml:space="preserve">will be evaluated to determine </w:t>
            </w:r>
            <w:r w:rsidR="005D2EBD" w:rsidRPr="00A82047">
              <w:rPr>
                <w:rFonts w:cstheme="minorHAnsi"/>
                <w:sz w:val="20"/>
                <w:szCs w:val="20"/>
              </w:rPr>
              <w:t>RO</w:t>
            </w:r>
            <w:r w:rsidRPr="00A82047">
              <w:rPr>
                <w:rFonts w:cstheme="minorHAnsi"/>
                <w:sz w:val="20"/>
                <w:szCs w:val="20"/>
              </w:rPr>
              <w:t xml:space="preserve"> responsibility.</w:t>
            </w:r>
          </w:p>
        </w:tc>
      </w:tr>
      <w:tr w:rsidR="002F7BA9" w:rsidRPr="005D2EBD" w:rsidTr="002F7BA9">
        <w:tc>
          <w:tcPr>
            <w:tcW w:w="10606" w:type="dxa"/>
            <w:vAlign w:val="center"/>
          </w:tcPr>
          <w:p w:rsidR="002F7BA9" w:rsidRPr="00A82047" w:rsidRDefault="002F7BA9" w:rsidP="005D2EB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cstheme="minorHAnsi"/>
                <w:sz w:val="20"/>
                <w:szCs w:val="20"/>
              </w:rPr>
            </w:pPr>
            <w:r w:rsidRPr="00A82047">
              <w:rPr>
                <w:rFonts w:cstheme="minorHAnsi"/>
                <w:sz w:val="20"/>
                <w:szCs w:val="20"/>
              </w:rPr>
              <w:t xml:space="preserve">Equipment deficiencies will only be class associated where equipment is covered by a </w:t>
            </w:r>
            <w:r w:rsidR="005D2EBD" w:rsidRPr="00A82047">
              <w:rPr>
                <w:rFonts w:cstheme="minorHAnsi"/>
                <w:sz w:val="20"/>
                <w:szCs w:val="20"/>
              </w:rPr>
              <w:t>RO</w:t>
            </w:r>
            <w:r w:rsidRPr="00A82047">
              <w:rPr>
                <w:rFonts w:cstheme="minorHAnsi"/>
                <w:sz w:val="20"/>
                <w:szCs w:val="20"/>
              </w:rPr>
              <w:t xml:space="preserve"> survey or where </w:t>
            </w:r>
            <w:r w:rsidR="005D2EBD" w:rsidRPr="00A82047">
              <w:rPr>
                <w:rFonts w:cstheme="minorHAnsi"/>
                <w:sz w:val="20"/>
                <w:szCs w:val="20"/>
              </w:rPr>
              <w:t>RO</w:t>
            </w:r>
            <w:r w:rsidRPr="00A82047">
              <w:rPr>
                <w:rFonts w:cstheme="minorHAnsi"/>
                <w:sz w:val="20"/>
                <w:szCs w:val="20"/>
              </w:rPr>
              <w:t xml:space="preserve"> has issued certification.</w:t>
            </w:r>
          </w:p>
        </w:tc>
      </w:tr>
      <w:tr w:rsidR="002F7BA9" w:rsidRPr="005D2EBD" w:rsidTr="002F7BA9">
        <w:tc>
          <w:tcPr>
            <w:tcW w:w="10606" w:type="dxa"/>
            <w:vAlign w:val="center"/>
          </w:tcPr>
          <w:p w:rsidR="002F7BA9" w:rsidRPr="00A82047" w:rsidRDefault="002F7BA9" w:rsidP="002F7BA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cstheme="minorHAnsi"/>
                <w:sz w:val="20"/>
                <w:szCs w:val="20"/>
              </w:rPr>
            </w:pPr>
            <w:r w:rsidRPr="00A82047">
              <w:rPr>
                <w:rFonts w:cstheme="minorHAnsi"/>
                <w:sz w:val="20"/>
                <w:szCs w:val="20"/>
              </w:rPr>
              <w:t>Accidental damage suffered on a ship’s voyage to a port will not be class related</w:t>
            </w:r>
            <w:r w:rsidR="00A82047">
              <w:rPr>
                <w:rFonts w:cstheme="minorHAnsi"/>
                <w:sz w:val="20"/>
                <w:szCs w:val="20"/>
              </w:rPr>
              <w:t xml:space="preserve"> </w:t>
            </w:r>
            <w:r w:rsidR="00A82047" w:rsidRPr="00A82047">
              <w:rPr>
                <w:rFonts w:cstheme="minorHAnsi"/>
                <w:b/>
                <w:szCs w:val="20"/>
                <w:vertAlign w:val="superscript"/>
              </w:rPr>
              <w:t>(</w:t>
            </w:r>
            <w:r w:rsidRPr="00A82047">
              <w:rPr>
                <w:rFonts w:cstheme="minorHAnsi"/>
                <w:b/>
                <w:szCs w:val="20"/>
                <w:vertAlign w:val="superscript"/>
              </w:rPr>
              <w:t>3</w:t>
            </w:r>
            <w:r w:rsidR="00A82047" w:rsidRPr="00A82047">
              <w:rPr>
                <w:rFonts w:cstheme="minorHAnsi"/>
                <w:b/>
                <w:szCs w:val="20"/>
                <w:vertAlign w:val="superscript"/>
              </w:rPr>
              <w:t>)</w:t>
            </w:r>
            <w:r w:rsidRPr="00A82047">
              <w:rPr>
                <w:rFonts w:cstheme="minorHAnsi"/>
                <w:b/>
                <w:szCs w:val="20"/>
                <w:vertAlign w:val="superscript"/>
              </w:rPr>
              <w:t>.</w:t>
            </w:r>
          </w:p>
        </w:tc>
      </w:tr>
      <w:tr w:rsidR="002F7BA9" w:rsidRPr="005D2EBD" w:rsidTr="002F7BA9">
        <w:tc>
          <w:tcPr>
            <w:tcW w:w="10606" w:type="dxa"/>
            <w:vAlign w:val="center"/>
          </w:tcPr>
          <w:p w:rsidR="002F7BA9" w:rsidRPr="00A82047" w:rsidRDefault="002F7BA9" w:rsidP="005D2EB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cstheme="minorHAnsi"/>
                <w:sz w:val="20"/>
                <w:szCs w:val="20"/>
              </w:rPr>
            </w:pPr>
            <w:r w:rsidRPr="00A82047">
              <w:rPr>
                <w:rFonts w:cstheme="minorHAnsi"/>
                <w:sz w:val="20"/>
                <w:szCs w:val="20"/>
              </w:rPr>
              <w:t xml:space="preserve">Serious wastage or other structural deficiencies not caused by voyage damage will be listed as a </w:t>
            </w:r>
            <w:r w:rsidR="005D2EBD" w:rsidRPr="00A82047">
              <w:rPr>
                <w:rFonts w:cstheme="minorHAnsi"/>
                <w:sz w:val="20"/>
                <w:szCs w:val="20"/>
              </w:rPr>
              <w:t xml:space="preserve">RO </w:t>
            </w:r>
            <w:r w:rsidRPr="00A82047">
              <w:rPr>
                <w:rFonts w:cstheme="minorHAnsi"/>
                <w:sz w:val="20"/>
                <w:szCs w:val="20"/>
              </w:rPr>
              <w:t>responsibility.</w:t>
            </w:r>
          </w:p>
        </w:tc>
      </w:tr>
      <w:tr w:rsidR="002F7BA9" w:rsidRPr="005D2EBD" w:rsidTr="002F7BA9">
        <w:tc>
          <w:tcPr>
            <w:tcW w:w="10606" w:type="dxa"/>
            <w:vAlign w:val="center"/>
          </w:tcPr>
          <w:p w:rsidR="002F7BA9" w:rsidRPr="00A82047" w:rsidRDefault="002F7BA9" w:rsidP="005D2EB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cstheme="minorHAnsi"/>
                <w:sz w:val="20"/>
                <w:szCs w:val="20"/>
              </w:rPr>
            </w:pPr>
            <w:r w:rsidRPr="00A82047">
              <w:rPr>
                <w:rFonts w:cstheme="minorHAnsi"/>
                <w:sz w:val="20"/>
                <w:szCs w:val="20"/>
              </w:rPr>
              <w:t xml:space="preserve">Outdated equipment will not be associated with the </w:t>
            </w:r>
            <w:r w:rsidR="005D2EBD" w:rsidRPr="00A82047">
              <w:rPr>
                <w:rFonts w:cstheme="minorHAnsi"/>
                <w:sz w:val="20"/>
                <w:szCs w:val="20"/>
              </w:rPr>
              <w:t>RO</w:t>
            </w:r>
            <w:r w:rsidRPr="00A82047">
              <w:rPr>
                <w:rFonts w:cstheme="minorHAnsi"/>
                <w:sz w:val="20"/>
                <w:szCs w:val="20"/>
              </w:rPr>
              <w:t xml:space="preserve"> unless outdated at the time of the last survey conducted by </w:t>
            </w:r>
            <w:r w:rsidR="005D2EBD" w:rsidRPr="00A82047">
              <w:rPr>
                <w:rFonts w:cstheme="minorHAnsi"/>
                <w:sz w:val="20"/>
                <w:szCs w:val="20"/>
              </w:rPr>
              <w:t>RO</w:t>
            </w:r>
            <w:r w:rsidRPr="00A82047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2F7BA9" w:rsidRPr="005D2EBD" w:rsidTr="002F7BA9">
        <w:tc>
          <w:tcPr>
            <w:tcW w:w="10606" w:type="dxa"/>
            <w:vAlign w:val="center"/>
          </w:tcPr>
          <w:p w:rsidR="002F7BA9" w:rsidRPr="00A82047" w:rsidRDefault="002F7BA9" w:rsidP="005D2EB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cstheme="minorHAnsi"/>
                <w:sz w:val="20"/>
                <w:szCs w:val="20"/>
              </w:rPr>
            </w:pPr>
            <w:r w:rsidRPr="00A82047">
              <w:rPr>
                <w:rFonts w:cstheme="minorHAnsi"/>
                <w:sz w:val="20"/>
                <w:szCs w:val="20"/>
              </w:rPr>
              <w:t xml:space="preserve">Absence of highly </w:t>
            </w:r>
            <w:proofErr w:type="spellStart"/>
            <w:r w:rsidRPr="00A82047">
              <w:rPr>
                <w:rFonts w:cstheme="minorHAnsi"/>
                <w:sz w:val="20"/>
                <w:szCs w:val="20"/>
              </w:rPr>
              <w:t>pilferable</w:t>
            </w:r>
            <w:proofErr w:type="spellEnd"/>
            <w:r w:rsidRPr="00A82047">
              <w:rPr>
                <w:rFonts w:cstheme="minorHAnsi"/>
                <w:sz w:val="20"/>
                <w:szCs w:val="20"/>
              </w:rPr>
              <w:t xml:space="preserve"> equipment will generally not be listed as a CS responsibility - unless a large quantity is missing, and inspection is taking place within 90 days of the last survey conducted by </w:t>
            </w:r>
            <w:r w:rsidR="005D2EBD" w:rsidRPr="00A82047">
              <w:rPr>
                <w:rFonts w:cstheme="minorHAnsi"/>
                <w:sz w:val="20"/>
                <w:szCs w:val="20"/>
              </w:rPr>
              <w:t>RO</w:t>
            </w:r>
            <w:r w:rsidRPr="00A82047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2F7BA9" w:rsidRPr="005D2EBD" w:rsidTr="002F7BA9">
        <w:tc>
          <w:tcPr>
            <w:tcW w:w="10606" w:type="dxa"/>
            <w:vAlign w:val="center"/>
          </w:tcPr>
          <w:p w:rsidR="002F7BA9" w:rsidRPr="00A82047" w:rsidRDefault="002F7BA9" w:rsidP="005D2EB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cstheme="minorHAnsi"/>
                <w:sz w:val="20"/>
                <w:szCs w:val="20"/>
              </w:rPr>
            </w:pPr>
            <w:r w:rsidRPr="00A82047">
              <w:rPr>
                <w:rFonts w:cstheme="minorHAnsi"/>
                <w:sz w:val="20"/>
                <w:szCs w:val="20"/>
              </w:rPr>
              <w:t xml:space="preserve">Expired statutory certificates will not be associated with the </w:t>
            </w:r>
            <w:r w:rsidR="005D2EBD" w:rsidRPr="00A82047">
              <w:rPr>
                <w:rFonts w:cstheme="minorHAnsi"/>
                <w:sz w:val="20"/>
                <w:szCs w:val="20"/>
              </w:rPr>
              <w:t>RO</w:t>
            </w:r>
            <w:r w:rsidRPr="00A82047">
              <w:rPr>
                <w:rFonts w:cstheme="minorHAnsi"/>
                <w:sz w:val="20"/>
                <w:szCs w:val="20"/>
              </w:rPr>
              <w:t xml:space="preserve"> unless the certificates were not endorsed or were improperly issued by the </w:t>
            </w:r>
            <w:r w:rsidR="005D2EBD" w:rsidRPr="00A82047">
              <w:rPr>
                <w:rFonts w:cstheme="minorHAnsi"/>
                <w:sz w:val="20"/>
                <w:szCs w:val="20"/>
              </w:rPr>
              <w:t>RO</w:t>
            </w:r>
            <w:r w:rsidRPr="00A82047">
              <w:rPr>
                <w:rFonts w:cstheme="minorHAnsi"/>
                <w:sz w:val="20"/>
                <w:szCs w:val="20"/>
              </w:rPr>
              <w:t xml:space="preserve"> following a survey conducted on behalf of the flag State.</w:t>
            </w:r>
          </w:p>
        </w:tc>
      </w:tr>
      <w:tr w:rsidR="002F7BA9" w:rsidRPr="005D2EBD" w:rsidTr="002F7BA9">
        <w:tc>
          <w:tcPr>
            <w:tcW w:w="10606" w:type="dxa"/>
            <w:vAlign w:val="center"/>
          </w:tcPr>
          <w:p w:rsidR="002F7BA9" w:rsidRPr="00A82047" w:rsidRDefault="002F7BA9" w:rsidP="005D2EB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cstheme="minorHAnsi"/>
                <w:sz w:val="20"/>
                <w:szCs w:val="20"/>
              </w:rPr>
            </w:pPr>
            <w:r w:rsidRPr="00A82047">
              <w:rPr>
                <w:rFonts w:cstheme="minorHAnsi"/>
                <w:sz w:val="20"/>
                <w:szCs w:val="20"/>
              </w:rPr>
              <w:t xml:space="preserve">Manning issues, other than those referred to in point 10, whether conducted in accordance with SOLAS or </w:t>
            </w:r>
            <w:proofErr w:type="gramStart"/>
            <w:r w:rsidRPr="00A82047">
              <w:rPr>
                <w:rFonts w:cstheme="minorHAnsi"/>
                <w:sz w:val="20"/>
                <w:szCs w:val="20"/>
              </w:rPr>
              <w:t>STCW,</w:t>
            </w:r>
            <w:proofErr w:type="gramEnd"/>
            <w:r w:rsidRPr="00A82047">
              <w:rPr>
                <w:rFonts w:cstheme="minorHAnsi"/>
                <w:sz w:val="20"/>
                <w:szCs w:val="20"/>
              </w:rPr>
              <w:t xml:space="preserve"> will not be listed as </w:t>
            </w:r>
            <w:r w:rsidR="005D2EBD" w:rsidRPr="00A82047">
              <w:rPr>
                <w:rFonts w:cstheme="minorHAnsi"/>
                <w:sz w:val="20"/>
                <w:szCs w:val="20"/>
              </w:rPr>
              <w:t>RO</w:t>
            </w:r>
            <w:r w:rsidRPr="00A82047">
              <w:rPr>
                <w:rFonts w:cstheme="minorHAnsi"/>
                <w:sz w:val="20"/>
                <w:szCs w:val="20"/>
              </w:rPr>
              <w:t xml:space="preserve"> responsibility.</w:t>
            </w:r>
          </w:p>
        </w:tc>
      </w:tr>
      <w:tr w:rsidR="002F7BA9" w:rsidRPr="005D2EBD" w:rsidTr="002F7BA9">
        <w:tc>
          <w:tcPr>
            <w:tcW w:w="10606" w:type="dxa"/>
            <w:vAlign w:val="center"/>
          </w:tcPr>
          <w:p w:rsidR="002F7BA9" w:rsidRPr="00A82047" w:rsidRDefault="002F7BA9" w:rsidP="00DA071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cstheme="minorHAnsi"/>
                <w:i/>
                <w:iCs/>
                <w:sz w:val="20"/>
                <w:szCs w:val="20"/>
              </w:rPr>
            </w:pPr>
            <w:r w:rsidRPr="00A82047">
              <w:rPr>
                <w:rFonts w:cstheme="minorHAnsi"/>
                <w:sz w:val="20"/>
                <w:szCs w:val="20"/>
              </w:rPr>
              <w:t xml:space="preserve">A time limit of 90 days from the last survey carried out by the </w:t>
            </w:r>
            <w:r w:rsidR="00DA0715" w:rsidRPr="00A82047">
              <w:rPr>
                <w:rFonts w:cstheme="minorHAnsi"/>
                <w:sz w:val="20"/>
                <w:szCs w:val="20"/>
              </w:rPr>
              <w:t xml:space="preserve">RO </w:t>
            </w:r>
            <w:r w:rsidRPr="00A82047">
              <w:rPr>
                <w:rFonts w:cstheme="minorHAnsi"/>
                <w:sz w:val="20"/>
                <w:szCs w:val="20"/>
              </w:rPr>
              <w:t xml:space="preserve">will generally be placed on equipment deficiencies, unless apparent that the deficiency is such that it would have existed at the time of the relevant survey conducted by </w:t>
            </w:r>
            <w:r w:rsidR="005D2EBD" w:rsidRPr="00A82047">
              <w:rPr>
                <w:rFonts w:cstheme="minorHAnsi"/>
                <w:sz w:val="20"/>
                <w:szCs w:val="20"/>
              </w:rPr>
              <w:t>RO</w:t>
            </w:r>
            <w:r w:rsidRPr="00A82047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</w:tr>
      <w:tr w:rsidR="002F7BA9" w:rsidRPr="005D2EBD" w:rsidTr="002F7BA9">
        <w:tc>
          <w:tcPr>
            <w:tcW w:w="10606" w:type="dxa"/>
            <w:vAlign w:val="center"/>
          </w:tcPr>
          <w:p w:rsidR="002F7BA9" w:rsidRPr="00A82047" w:rsidRDefault="002F7BA9" w:rsidP="005D2EB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cstheme="minorHAnsi"/>
                <w:sz w:val="20"/>
                <w:szCs w:val="20"/>
              </w:rPr>
            </w:pPr>
            <w:r w:rsidRPr="00A82047">
              <w:rPr>
                <w:rFonts w:cstheme="minorHAnsi"/>
                <w:sz w:val="20"/>
                <w:szCs w:val="20"/>
              </w:rPr>
              <w:t xml:space="preserve">Failure of human factor issues related to operational drills and tests and other manning issues where required and undertaken will be associated with </w:t>
            </w:r>
            <w:r w:rsidR="005D2EBD" w:rsidRPr="00A82047">
              <w:rPr>
                <w:rFonts w:cstheme="minorHAnsi"/>
                <w:sz w:val="20"/>
                <w:szCs w:val="20"/>
              </w:rPr>
              <w:t>RO</w:t>
            </w:r>
            <w:r w:rsidRPr="00A82047">
              <w:rPr>
                <w:rFonts w:cstheme="minorHAnsi"/>
                <w:sz w:val="20"/>
                <w:szCs w:val="20"/>
              </w:rPr>
              <w:t xml:space="preserve"> responsibility only when the </w:t>
            </w:r>
            <w:r w:rsidR="005D2EBD" w:rsidRPr="00A82047">
              <w:rPr>
                <w:rFonts w:cstheme="minorHAnsi"/>
                <w:sz w:val="20"/>
                <w:szCs w:val="20"/>
              </w:rPr>
              <w:t>RO</w:t>
            </w:r>
            <w:r w:rsidRPr="00A82047">
              <w:rPr>
                <w:rFonts w:cstheme="minorHAnsi"/>
                <w:sz w:val="20"/>
                <w:szCs w:val="20"/>
              </w:rPr>
              <w:t xml:space="preserve"> issued the relevant certificate.</w:t>
            </w:r>
          </w:p>
        </w:tc>
      </w:tr>
      <w:tr w:rsidR="002F7BA9" w:rsidRPr="005D2EBD" w:rsidTr="002F7BA9">
        <w:tc>
          <w:tcPr>
            <w:tcW w:w="10606" w:type="dxa"/>
            <w:vAlign w:val="center"/>
          </w:tcPr>
          <w:p w:rsidR="002F7BA9" w:rsidRPr="00A82047" w:rsidRDefault="002F7BA9" w:rsidP="005D2EB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cstheme="minorHAnsi"/>
                <w:sz w:val="20"/>
                <w:szCs w:val="20"/>
              </w:rPr>
            </w:pPr>
            <w:r w:rsidRPr="00A82047">
              <w:rPr>
                <w:rFonts w:cstheme="minorHAnsi"/>
                <w:sz w:val="20"/>
                <w:szCs w:val="20"/>
              </w:rPr>
              <w:t xml:space="preserve">Deficiencies in the ISM Safety Management System shall be class-related only when the CS has issued the DOC and/or SMC, whichever is relevant, and if there is clear evidence that the lack of effective and systematic implementation of a requirement of the ISM Code existed at the last audit conducted by the </w:t>
            </w:r>
            <w:r w:rsidR="005D2EBD" w:rsidRPr="00A82047">
              <w:rPr>
                <w:rFonts w:cstheme="minorHAnsi"/>
                <w:sz w:val="20"/>
                <w:szCs w:val="20"/>
              </w:rPr>
              <w:t>RO</w:t>
            </w:r>
            <w:r w:rsidRPr="00A82047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2F7BA9" w:rsidRPr="005D2EBD" w:rsidTr="002F7BA9">
        <w:tc>
          <w:tcPr>
            <w:tcW w:w="10606" w:type="dxa"/>
            <w:vAlign w:val="center"/>
          </w:tcPr>
          <w:p w:rsidR="002F7BA9" w:rsidRPr="00A82047" w:rsidRDefault="002F7BA9" w:rsidP="00C130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F7BA9" w:rsidRPr="005D2EBD" w:rsidTr="002F7BA9">
        <w:tc>
          <w:tcPr>
            <w:tcW w:w="10606" w:type="dxa"/>
            <w:vAlign w:val="center"/>
          </w:tcPr>
          <w:p w:rsidR="002F7BA9" w:rsidRPr="00A82047" w:rsidRDefault="00A82047" w:rsidP="002F7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82047">
              <w:rPr>
                <w:rFonts w:cstheme="minorHAnsi"/>
                <w:b/>
                <w:sz w:val="20"/>
                <w:szCs w:val="20"/>
                <w:vertAlign w:val="superscript"/>
              </w:rPr>
              <w:t>(1)</w:t>
            </w:r>
            <w:r w:rsidR="002F7BA9" w:rsidRPr="00A82047">
              <w:rPr>
                <w:rFonts w:cstheme="minorHAnsi"/>
                <w:sz w:val="20"/>
                <w:szCs w:val="20"/>
              </w:rPr>
              <w:t xml:space="preserve"> </w:t>
            </w:r>
            <w:r w:rsidR="005D2EBD" w:rsidRPr="00A82047">
              <w:rPr>
                <w:rFonts w:cstheme="minorHAnsi"/>
                <w:sz w:val="20"/>
                <w:szCs w:val="20"/>
              </w:rPr>
              <w:t>RO</w:t>
            </w:r>
            <w:r w:rsidR="002F7BA9" w:rsidRPr="00A82047">
              <w:rPr>
                <w:rFonts w:cstheme="minorHAnsi"/>
                <w:sz w:val="20"/>
                <w:szCs w:val="20"/>
              </w:rPr>
              <w:t xml:space="preserve"> means </w:t>
            </w:r>
            <w:r w:rsidR="00DA0715" w:rsidRPr="00A82047">
              <w:rPr>
                <w:rFonts w:cstheme="minorHAnsi"/>
                <w:sz w:val="20"/>
                <w:szCs w:val="20"/>
              </w:rPr>
              <w:t xml:space="preserve">the recognized organization </w:t>
            </w:r>
            <w:r w:rsidR="002F7BA9" w:rsidRPr="00A82047">
              <w:rPr>
                <w:rFonts w:cstheme="minorHAnsi"/>
                <w:sz w:val="20"/>
                <w:szCs w:val="20"/>
              </w:rPr>
              <w:t>carrying out safety assessment work on ships.</w:t>
            </w:r>
          </w:p>
          <w:p w:rsidR="002F7BA9" w:rsidRPr="00A82047" w:rsidRDefault="00A82047" w:rsidP="002F7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vertAlign w:val="superscript"/>
              </w:rPr>
              <w:t>(</w:t>
            </w:r>
            <w:r w:rsidR="002F7BA9" w:rsidRPr="00A82047">
              <w:rPr>
                <w:rFonts w:cstheme="minorHAnsi"/>
                <w:b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b/>
                <w:sz w:val="20"/>
                <w:szCs w:val="20"/>
                <w:vertAlign w:val="superscript"/>
              </w:rPr>
              <w:t>)</w:t>
            </w:r>
            <w:r w:rsidR="002F7BA9" w:rsidRPr="00A82047">
              <w:rPr>
                <w:rFonts w:cstheme="minorHAnsi"/>
                <w:sz w:val="20"/>
                <w:szCs w:val="20"/>
              </w:rPr>
              <w:t xml:space="preserve"> Without prejudice to the professional judgment of PSCOs, annex VI to Council Directive 95/21/EC and Section 9.3 of Annex 1 to the Paris MOU provide examples of deficiencies warranting detention.</w:t>
            </w:r>
          </w:p>
          <w:p w:rsidR="002F7BA9" w:rsidRPr="00A82047" w:rsidRDefault="00A82047" w:rsidP="005D2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vertAlign w:val="superscript"/>
              </w:rPr>
              <w:t>(</w:t>
            </w:r>
            <w:r w:rsidR="002F7BA9" w:rsidRPr="00A82047">
              <w:rPr>
                <w:rFonts w:cstheme="minorHAnsi"/>
                <w:b/>
                <w:sz w:val="20"/>
                <w:szCs w:val="20"/>
                <w:vertAlign w:val="superscript"/>
              </w:rPr>
              <w:t>3</w:t>
            </w:r>
            <w:r>
              <w:rPr>
                <w:rFonts w:cstheme="minorHAnsi"/>
                <w:b/>
                <w:sz w:val="20"/>
                <w:szCs w:val="20"/>
                <w:vertAlign w:val="superscript"/>
              </w:rPr>
              <w:t xml:space="preserve">)  </w:t>
            </w:r>
            <w:r w:rsidR="002F7BA9" w:rsidRPr="00A82047">
              <w:rPr>
                <w:rFonts w:cstheme="minorHAnsi"/>
                <w:sz w:val="20"/>
                <w:szCs w:val="20"/>
              </w:rPr>
              <w:t xml:space="preserve">A class-related deficiency means that the ship’s </w:t>
            </w:r>
            <w:r w:rsidR="005D2EBD" w:rsidRPr="00A82047">
              <w:rPr>
                <w:rFonts w:cstheme="minorHAnsi"/>
                <w:sz w:val="20"/>
                <w:szCs w:val="20"/>
              </w:rPr>
              <w:t>RO</w:t>
            </w:r>
            <w:r w:rsidR="002F7BA9" w:rsidRPr="00A82047">
              <w:rPr>
                <w:rFonts w:cstheme="minorHAnsi"/>
                <w:sz w:val="20"/>
                <w:szCs w:val="20"/>
              </w:rPr>
              <w:t xml:space="preserve"> that carried out the relevant survey or that issued certification had a responsibility in relation with the deficiencies that alone or in combination led to detention.</w:t>
            </w:r>
          </w:p>
        </w:tc>
      </w:tr>
      <w:tr w:rsidR="002F7BA9" w:rsidRPr="005D2EBD" w:rsidTr="002F7BA9">
        <w:tc>
          <w:tcPr>
            <w:tcW w:w="10606" w:type="dxa"/>
            <w:vAlign w:val="center"/>
          </w:tcPr>
          <w:p w:rsidR="002F7BA9" w:rsidRPr="00A82047" w:rsidRDefault="002F7BA9" w:rsidP="002F7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vertAlign w:val="superscript"/>
              </w:rPr>
            </w:pPr>
          </w:p>
        </w:tc>
      </w:tr>
      <w:tr w:rsidR="002F7BA9" w:rsidRPr="005D2EBD" w:rsidTr="002F7BA9">
        <w:tc>
          <w:tcPr>
            <w:tcW w:w="10606" w:type="dxa"/>
            <w:vAlign w:val="center"/>
          </w:tcPr>
          <w:p w:rsidR="002F7BA9" w:rsidRPr="00A82047" w:rsidRDefault="002F7BA9" w:rsidP="005D2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vertAlign w:val="superscript"/>
              </w:rPr>
            </w:pPr>
            <w:r w:rsidRPr="00A82047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In all cases of </w:t>
            </w:r>
            <w:r w:rsidR="005D2EBD" w:rsidRPr="00A82047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RO </w:t>
            </w:r>
            <w:r w:rsidRPr="00A82047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responsibility, the </w:t>
            </w:r>
            <w:r w:rsidR="005D2EBD" w:rsidRPr="00A82047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RO </w:t>
            </w:r>
            <w:r w:rsidRPr="00A82047">
              <w:rPr>
                <w:rFonts w:cstheme="minorHAnsi"/>
                <w:b/>
                <w:bCs/>
                <w:i/>
                <w:sz w:val="20"/>
                <w:szCs w:val="20"/>
              </w:rPr>
              <w:t>will immediately be officially notified in writing.</w:t>
            </w:r>
          </w:p>
        </w:tc>
      </w:tr>
    </w:tbl>
    <w:p w:rsidR="006076FF" w:rsidRPr="005D2EBD" w:rsidRDefault="006076FF" w:rsidP="006076FF">
      <w:pPr>
        <w:rPr>
          <w:rFonts w:cstheme="minorHAnsi"/>
          <w:sz w:val="18"/>
          <w:szCs w:val="18"/>
        </w:rPr>
      </w:pPr>
    </w:p>
    <w:sectPr w:rsidR="006076FF" w:rsidRPr="005D2EBD" w:rsidSect="006C7D7C">
      <w:pgSz w:w="11906" w:h="16838"/>
      <w:pgMar w:top="720" w:right="720" w:bottom="720" w:left="720" w:header="1440" w:footer="144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E4119"/>
    <w:multiLevelType w:val="multilevel"/>
    <w:tmpl w:val="5112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A65497"/>
    <w:multiLevelType w:val="hybridMultilevel"/>
    <w:tmpl w:val="BDB416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FF"/>
    <w:rsid w:val="000E16A9"/>
    <w:rsid w:val="002F7BA9"/>
    <w:rsid w:val="0032503D"/>
    <w:rsid w:val="00413BF7"/>
    <w:rsid w:val="00441E87"/>
    <w:rsid w:val="004F6BD3"/>
    <w:rsid w:val="005D2EBD"/>
    <w:rsid w:val="006076FF"/>
    <w:rsid w:val="007C1781"/>
    <w:rsid w:val="00896020"/>
    <w:rsid w:val="008E5A43"/>
    <w:rsid w:val="00935808"/>
    <w:rsid w:val="00952D2E"/>
    <w:rsid w:val="009F6E00"/>
    <w:rsid w:val="00A82047"/>
    <w:rsid w:val="00B218B3"/>
    <w:rsid w:val="00BD652D"/>
    <w:rsid w:val="00C13091"/>
    <w:rsid w:val="00DA0715"/>
    <w:rsid w:val="00DB13F6"/>
    <w:rsid w:val="00DB54B7"/>
    <w:rsid w:val="00E479F6"/>
    <w:rsid w:val="00E712B7"/>
    <w:rsid w:val="00E9304C"/>
    <w:rsid w:val="00EC0272"/>
    <w:rsid w:val="00EE06A5"/>
    <w:rsid w:val="00F17CA4"/>
    <w:rsid w:val="00F475DB"/>
    <w:rsid w:val="00FB4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6FF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76F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7B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6FF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76F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7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Caroline Sanjur</cp:lastModifiedBy>
  <cp:revision>2</cp:revision>
  <dcterms:created xsi:type="dcterms:W3CDTF">2022-10-25T14:00:00Z</dcterms:created>
  <dcterms:modified xsi:type="dcterms:W3CDTF">2022-10-25T14:00:00Z</dcterms:modified>
</cp:coreProperties>
</file>